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Rozhodnutí o poskytnutí podpory</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4">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5">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w:t>
      </w:r>
      <w:r w:rsidDel="00000000" w:rsidR="00000000" w:rsidRPr="00000000">
        <w:rPr>
          <w:rFonts w:ascii="Calibri" w:cs="Calibri" w:eastAsia="Calibri" w:hAnsi="Calibri"/>
          <w:b w:val="1"/>
          <w:rtl w:val="0"/>
        </w:rPr>
        <w:t xml:space="preserve"> TA ČR</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jako poskytovatel účelové podpory (dále jen „</w:t>
      </w:r>
      <w:r w:rsidDel="00000000" w:rsidR="00000000" w:rsidRPr="00000000">
        <w:rPr>
          <w:rFonts w:ascii="Calibri" w:cs="Calibri" w:eastAsia="Calibri" w:hAnsi="Calibri"/>
          <w:rtl w:val="0"/>
        </w:rPr>
        <w:t xml:space="preserve">Poskytovatel“),</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vydává níže uvedeného dne, měsíce a roku podle ustanovení § 9 zákona č. 130/2002 Sb., o podpoře výzkumu, experimentálního vývoje a inovací z veřejných prostředků a o změně některých souvisejících zákonů (zákon o podpoře výzkumu, experimentálního vývoje a inovací), ve znění pozdějších předpisů (dále jen „ZPVV“), a podle zákona č. 218/2000 Sb., o rozpočtových pravidlech a o změně některých souvisejících zákonů (rozpočtová pravidla), toto</w:t>
      </w:r>
    </w:p>
    <w:p w:rsidR="00000000" w:rsidDel="00000000" w:rsidP="00000000" w:rsidRDefault="00000000" w:rsidRPr="00000000" w14:paraId="0000000B">
      <w:pPr>
        <w:spacing w:befor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rPr>
      </w:pPr>
      <w:r w:rsidDel="00000000" w:rsidR="00000000" w:rsidRPr="00000000">
        <w:rPr>
          <w:rFonts w:ascii="Calibri" w:cs="Calibri" w:eastAsia="Calibri" w:hAnsi="Calibri"/>
          <w:b w:val="1"/>
          <w:rtl w:val="0"/>
        </w:rPr>
        <w:t xml:space="preserve">Rozhodnutí o poskytnutí účelové podpory formou dotace z výdajů státního rozpočtu na výzkum, vývoj a inovace na řešení části programového projektu č. </w:t>
      </w:r>
      <w:r w:rsidDel="00000000" w:rsidR="00000000" w:rsidRPr="00000000">
        <w:rPr>
          <w:rFonts w:ascii="Calibri" w:cs="Calibri" w:eastAsia="Calibri" w:hAnsi="Calibri"/>
          <w:b w:val="1"/>
          <w:highlight w:val="yellow"/>
          <w:rtl w:val="0"/>
        </w:rPr>
        <w:t xml:space="preserve">XXXX</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D">
      <w:pPr>
        <w:jc w:val="center"/>
        <w:rPr>
          <w:rFonts w:ascii="Calibri" w:cs="Calibri" w:eastAsia="Calibri" w:hAnsi="Calibri"/>
        </w:rPr>
      </w:pPr>
      <w:r w:rsidDel="00000000" w:rsidR="00000000" w:rsidRPr="00000000">
        <w:rPr>
          <w:rFonts w:ascii="Calibri" w:cs="Calibri" w:eastAsia="Calibri" w:hAnsi="Calibri"/>
          <w:rtl w:val="0"/>
        </w:rPr>
        <w:t xml:space="preserve">(dále jen „Rozhodnutí“)</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b w:val="1"/>
          <w:highlight w:val="yellow"/>
          <w:rtl w:val="0"/>
        </w:rPr>
        <w:t xml:space="preserve">[organizaci]</w:t>
      </w:r>
      <w:r w:rsidDel="00000000" w:rsidR="00000000" w:rsidRPr="00000000">
        <w:rPr>
          <w:rtl w:val="0"/>
        </w:rPr>
      </w:r>
    </w:p>
    <w:p w:rsidR="00000000" w:rsidDel="00000000" w:rsidP="00000000" w:rsidRDefault="00000000" w:rsidRPr="00000000" w14:paraId="0000000F">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se sídlem XXXXXXXX</w:t>
      </w:r>
      <w:r w:rsidDel="00000000" w:rsidR="00000000" w:rsidRPr="00000000">
        <w:rPr>
          <w:rtl w:val="0"/>
        </w:rPr>
      </w:r>
    </w:p>
    <w:p w:rsidR="00000000" w:rsidDel="00000000" w:rsidP="00000000" w:rsidRDefault="00000000" w:rsidRPr="00000000" w14:paraId="00000010">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IČO: XXXXXXXX, DIČ: </w:t>
      </w:r>
      <w:r w:rsidDel="00000000" w:rsidR="00000000" w:rsidRPr="00000000">
        <w:rPr>
          <w:rFonts w:ascii="Calibri" w:cs="Calibri" w:eastAsia="Calibri" w:hAnsi="Calibri"/>
          <w:b w:val="1"/>
          <w:highlight w:val="yellow"/>
          <w:rtl w:val="0"/>
        </w:rPr>
        <w:t xml:space="preserve">XXXXXXXXXX</w:t>
      </w:r>
      <w:r w:rsidDel="00000000" w:rsidR="00000000" w:rsidRPr="00000000">
        <w:rPr>
          <w:rtl w:val="0"/>
        </w:rPr>
      </w:r>
    </w:p>
    <w:p w:rsidR="00000000" w:rsidDel="00000000" w:rsidP="00000000" w:rsidRDefault="00000000" w:rsidRPr="00000000" w14:paraId="00000011">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zastoupená: XXXXXXXX </w:t>
      </w:r>
      <w:r w:rsidDel="00000000" w:rsidR="00000000" w:rsidRPr="00000000">
        <w:rPr>
          <w:rtl w:val="0"/>
        </w:rPr>
      </w:r>
    </w:p>
    <w:p w:rsidR="00000000" w:rsidDel="00000000" w:rsidP="00000000" w:rsidRDefault="00000000" w:rsidRPr="00000000" w14:paraId="00000012">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kontaktní osoba: XXXXXXXX</w:t>
      </w:r>
      <w:r w:rsidDel="00000000" w:rsidR="00000000" w:rsidRPr="00000000">
        <w:rPr>
          <w:rFonts w:ascii="Calibri" w:cs="Calibri" w:eastAsia="Calibri" w:hAnsi="Calibri"/>
          <w:b w:val="1"/>
          <w:highlight w:val="yellow"/>
          <w:rtl w:val="0"/>
        </w:rPr>
        <w:t xml:space="preserve">, řešitel</w:t>
      </w:r>
      <w:r w:rsidDel="00000000" w:rsidR="00000000" w:rsidRPr="00000000">
        <w:rPr>
          <w:rtl w:val="0"/>
        </w:rPr>
      </w:r>
    </w:p>
    <w:p w:rsidR="00000000" w:rsidDel="00000000" w:rsidP="00000000" w:rsidRDefault="00000000" w:rsidRPr="00000000" w14:paraId="00000013">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bankovní spojení: XXXXXXXX</w:t>
      </w:r>
      <w:r w:rsidDel="00000000" w:rsidR="00000000" w:rsidRPr="00000000">
        <w:rPr>
          <w:rFonts w:ascii="Calibri" w:cs="Calibri" w:eastAsia="Calibri" w:hAnsi="Calibri"/>
          <w:b w:val="1"/>
          <w:highlight w:val="yellow"/>
          <w:rtl w:val="0"/>
        </w:rPr>
        <w:t xml:space="preserve"> - </w:t>
      </w:r>
      <w:r w:rsidDel="00000000" w:rsidR="00000000" w:rsidRPr="00000000">
        <w:rPr>
          <w:rFonts w:ascii="Calibri" w:cs="Calibri" w:eastAsia="Calibri" w:hAnsi="Calibri"/>
          <w:highlight w:val="yellow"/>
          <w:rtl w:val="0"/>
        </w:rPr>
        <w:t xml:space="preserve">XXXXXXXX</w:t>
      </w:r>
      <w:r w:rsidDel="00000000" w:rsidR="00000000" w:rsidRPr="00000000">
        <w:rPr>
          <w:rtl w:val="0"/>
        </w:rPr>
      </w:r>
    </w:p>
    <w:p w:rsidR="00000000" w:rsidDel="00000000" w:rsidP="00000000" w:rsidRDefault="00000000" w:rsidRPr="00000000" w14:paraId="00000014">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číslo účtu: XXXXXXXX</w:t>
      </w:r>
      <w:r w:rsidDel="00000000" w:rsidR="00000000" w:rsidRPr="00000000">
        <w:rPr>
          <w:rtl w:val="0"/>
        </w:rPr>
      </w:r>
    </w:p>
    <w:p w:rsidR="00000000" w:rsidDel="00000000" w:rsidP="00000000" w:rsidRDefault="00000000" w:rsidRPr="00000000" w14:paraId="00000015">
      <w:pPr>
        <w:spacing w:before="0" w:lineRule="auto"/>
        <w:rPr>
          <w:rFonts w:ascii="Calibri" w:cs="Calibri" w:eastAsia="Calibri" w:hAnsi="Calibri"/>
        </w:rPr>
      </w:pPr>
      <w:r w:rsidDel="00000000" w:rsidR="00000000" w:rsidRPr="00000000">
        <w:rPr>
          <w:rFonts w:ascii="Calibri" w:cs="Calibri" w:eastAsia="Calibri" w:hAnsi="Calibri"/>
          <w:rtl w:val="0"/>
        </w:rPr>
        <w:t xml:space="preserve">jako hlavnímu příjemci / dalšímu účastníku projektu (dále jen „Příjemce“)</w:t>
      </w:r>
    </w:p>
    <w:p w:rsidR="00000000" w:rsidDel="00000000" w:rsidP="00000000" w:rsidRDefault="00000000" w:rsidRPr="00000000" w14:paraId="0000001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7">
      <w:pPr>
        <w:spacing w:after="60" w:lineRule="auto"/>
        <w:rPr>
          <w:rFonts w:ascii="Calibri" w:cs="Calibri" w:eastAsia="Calibri" w:hAnsi="Calibri"/>
        </w:rPr>
      </w:pPr>
      <w:r w:rsidDel="00000000" w:rsidR="00000000" w:rsidRPr="00000000">
        <w:rPr>
          <w:rFonts w:ascii="Calibri" w:cs="Calibri" w:eastAsia="Calibri" w:hAnsi="Calibri"/>
          <w:rtl w:val="0"/>
        </w:rPr>
        <w:t xml:space="preserve">Posyktovatel přijal návrh projektu </w:t>
      </w:r>
      <w:r w:rsidDel="00000000" w:rsidR="00000000" w:rsidRPr="00000000">
        <w:rPr>
          <w:rFonts w:ascii="Calibri" w:cs="Calibri" w:eastAsia="Calibri" w:hAnsi="Calibri"/>
          <w:highlight w:val="yellow"/>
          <w:rtl w:val="0"/>
        </w:rPr>
        <w:t xml:space="preserve">XXXX </w:t>
      </w:r>
      <w:r w:rsidDel="00000000" w:rsidR="00000000" w:rsidRPr="00000000">
        <w:rPr>
          <w:rFonts w:ascii="Calibri" w:cs="Calibri" w:eastAsia="Calibri" w:hAnsi="Calibri"/>
          <w:rtl w:val="0"/>
        </w:rPr>
        <w:t xml:space="preserve">s názvem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do mezinárodní výzvy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vyhlášené konsorciem poskytovatelů v ERA-NET Cofundu / Evropském partnerství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přičemž hlavní příjemce bude financován z následujícího programu: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V souladu s § 9 ZPVV </w:t>
      </w:r>
      <w:r w:rsidDel="00000000" w:rsidR="00000000" w:rsidRPr="00000000">
        <w:rPr>
          <w:rFonts w:ascii="Calibri" w:cs="Calibri" w:eastAsia="Calibri" w:hAnsi="Calibri"/>
          <w:rtl w:val="0"/>
        </w:rPr>
        <w:t xml:space="preserve">proto Poskytovatel vydává toto Rozhodnutí. Veškeré pojmy použité v Rozhodnutí definujeme ve Všeobecných podmínkách.</w:t>
      </w:r>
    </w:p>
    <w:p w:rsidR="00000000" w:rsidDel="00000000" w:rsidP="00000000" w:rsidRDefault="00000000" w:rsidRPr="00000000" w14:paraId="0000001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19">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Rozhodnutí</w:t>
      </w:r>
      <w:r w:rsidDel="00000000" w:rsidR="00000000" w:rsidRPr="00000000">
        <w:rPr>
          <w:rtl w:val="0"/>
        </w:rPr>
      </w:r>
    </w:p>
    <w:p w:rsidR="00000000" w:rsidDel="00000000" w:rsidP="00000000" w:rsidRDefault="00000000" w:rsidRPr="00000000" w14:paraId="0000001A">
      <w:pPr>
        <w:numPr>
          <w:ilvl w:val="0"/>
          <w:numId w:val="3"/>
        </w:numPr>
        <w:ind w:left="360" w:hanging="360"/>
        <w:rPr/>
      </w:pPr>
      <w:r w:rsidDel="00000000" w:rsidR="00000000" w:rsidRPr="00000000">
        <w:rPr>
          <w:rFonts w:ascii="Calibri" w:cs="Calibri" w:eastAsia="Calibri" w:hAnsi="Calibri"/>
          <w:rtl w:val="0"/>
        </w:rPr>
        <w:t xml:space="preserve">Předmětem Rozhodnutí je poskytnutí účelové podpory Příjemci za účelem jejího využití na dosažení deklarovaných výsledků a cílů projektu a současně povinnost Příjemce použít tuto podporu a řešit projekt v souladu s pravidly poskytnutí podpory a přílohou Závazné parametry řešení projektu. </w:t>
      </w:r>
      <w:r w:rsidDel="00000000" w:rsidR="00000000" w:rsidRPr="00000000">
        <w:rPr>
          <w:rtl w:val="0"/>
        </w:rPr>
      </w:r>
    </w:p>
    <w:p w:rsidR="00000000" w:rsidDel="00000000" w:rsidP="00000000" w:rsidRDefault="00000000" w:rsidRPr="00000000" w14:paraId="0000001B">
      <w:pPr>
        <w:numPr>
          <w:ilvl w:val="0"/>
          <w:numId w:val="3"/>
        </w:numPr>
        <w:ind w:left="360" w:hanging="360"/>
        <w:rPr/>
      </w:pPr>
      <w:r w:rsidDel="00000000" w:rsidR="00000000" w:rsidRPr="00000000">
        <w:rPr>
          <w:rFonts w:ascii="Calibri" w:cs="Calibri" w:eastAsia="Calibri" w:hAnsi="Calibri"/>
          <w:rtl w:val="0"/>
        </w:rPr>
        <w:t xml:space="preserve">Účelem podpory je dosažení stanovených cílů projektu, tj. cílů uvedených v příloze Závazné parametry řešení projektu. </w:t>
      </w:r>
      <w:r w:rsidDel="00000000" w:rsidR="00000000" w:rsidRPr="00000000">
        <w:rPr>
          <w:rtl w:val="0"/>
        </w:rPr>
      </w:r>
    </w:p>
    <w:p w:rsidR="00000000" w:rsidDel="00000000" w:rsidP="00000000" w:rsidRDefault="00000000" w:rsidRPr="00000000" w14:paraId="0000001C">
      <w:pPr>
        <w:numPr>
          <w:ilvl w:val="0"/>
          <w:numId w:val="3"/>
        </w:numPr>
        <w:ind w:left="360" w:hanging="360"/>
        <w:rPr/>
      </w:pPr>
      <w:r w:rsidDel="00000000" w:rsidR="00000000" w:rsidRPr="00000000">
        <w:rPr>
          <w:rFonts w:ascii="Calibri" w:cs="Calibri" w:eastAsia="Calibri" w:hAnsi="Calibri"/>
          <w:rtl w:val="0"/>
        </w:rPr>
        <w:t xml:space="preserve">Podporu poskytneme formou zvýšení výdajů organizační složky státu, která je Příjemcem, ve smyslu § 4 odst. 1 ZPVV.</w:t>
      </w:r>
      <w:r w:rsidDel="00000000" w:rsidR="00000000" w:rsidRPr="00000000">
        <w:rPr>
          <w:rtl w:val="0"/>
        </w:rPr>
      </w:r>
    </w:p>
    <w:p w:rsidR="00000000" w:rsidDel="00000000" w:rsidP="00000000" w:rsidRDefault="00000000" w:rsidRPr="00000000" w14:paraId="0000001D">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1E">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1F">
      <w:pPr>
        <w:numPr>
          <w:ilvl w:val="0"/>
          <w:numId w:val="2"/>
        </w:numPr>
        <w:ind w:left="360" w:hanging="360"/>
        <w:rPr/>
      </w:pPr>
      <w:r w:rsidDel="00000000" w:rsidR="00000000" w:rsidRPr="00000000">
        <w:rPr>
          <w:rFonts w:ascii="Calibri" w:cs="Calibri" w:eastAsia="Calibri" w:hAnsi="Calibri"/>
          <w:rtl w:val="0"/>
        </w:rPr>
        <w:t xml:space="preserve">Maximální výše podpory činí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 což je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 z maximální výše uznaných nákladů.</w:t>
      </w:r>
      <w:r w:rsidDel="00000000" w:rsidR="00000000" w:rsidRPr="00000000">
        <w:rPr>
          <w:rtl w:val="0"/>
        </w:rPr>
      </w:r>
    </w:p>
    <w:p w:rsidR="00000000" w:rsidDel="00000000" w:rsidP="00000000" w:rsidRDefault="00000000" w:rsidRPr="00000000" w14:paraId="00000020">
      <w:pPr>
        <w:numPr>
          <w:ilvl w:val="0"/>
          <w:numId w:val="2"/>
        </w:numPr>
        <w:ind w:left="360" w:hanging="360"/>
        <w:rPr/>
      </w:pPr>
      <w:r w:rsidDel="00000000" w:rsidR="00000000" w:rsidRPr="00000000">
        <w:rPr>
          <w:rFonts w:ascii="Calibri" w:cs="Calibri" w:eastAsia="Calibri" w:hAnsi="Calibri"/>
          <w:rtl w:val="0"/>
        </w:rPr>
        <w:t xml:space="preserve">Maximální výše uznaných nákladů projektu</w:t>
      </w:r>
      <w:r w:rsidDel="00000000" w:rsidR="00000000" w:rsidRPr="00000000">
        <w:rPr>
          <w:rFonts w:ascii="Calibri" w:cs="Calibri" w:eastAsia="Calibri" w:hAnsi="Calibri"/>
          <w:rtl w:val="0"/>
        </w:rPr>
        <w:t xml:space="preserve"> činí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w:t>
      </w:r>
      <w:r w:rsidDel="00000000" w:rsidR="00000000" w:rsidRPr="00000000">
        <w:rPr>
          <w:rtl w:val="0"/>
        </w:rPr>
      </w:r>
    </w:p>
    <w:p w:rsidR="00000000" w:rsidDel="00000000" w:rsidP="00000000" w:rsidRDefault="00000000" w:rsidRPr="00000000" w14:paraId="00000021">
      <w:pPr>
        <w:numPr>
          <w:ilvl w:val="0"/>
          <w:numId w:val="2"/>
        </w:numPr>
        <w:ind w:left="360" w:hanging="360"/>
        <w:rPr/>
      </w:pPr>
      <w:r w:rsidDel="00000000" w:rsidR="00000000" w:rsidRPr="00000000">
        <w:rPr>
          <w:rFonts w:ascii="Calibri" w:cs="Calibri" w:eastAsia="Calibri" w:hAnsi="Calibri"/>
          <w:rtl w:val="0"/>
        </w:rPr>
        <w:t xml:space="preserve">Maximální možná intenzita podpory na celý projekt je </w:t>
      </w:r>
      <w:r w:rsidDel="00000000" w:rsidR="00000000" w:rsidRPr="00000000">
        <w:rPr>
          <w:rFonts w:ascii="Calibri" w:cs="Calibri" w:eastAsia="Calibri" w:hAnsi="Calibri"/>
          <w:highlight w:val="yellow"/>
          <w:rtl w:val="0"/>
        </w:rPr>
        <w:t xml:space="preserve">XX </w:t>
      </w:r>
      <w:r w:rsidDel="00000000" w:rsidR="00000000" w:rsidRPr="00000000">
        <w:rPr>
          <w:rFonts w:ascii="Calibri" w:cs="Calibri" w:eastAsia="Calibri" w:hAnsi="Calibri"/>
          <w:rtl w:val="0"/>
        </w:rPr>
        <w:t xml:space="preserve">% uznaných nákladů projektu.</w:t>
      </w:r>
      <w:r w:rsidDel="00000000" w:rsidR="00000000" w:rsidRPr="00000000">
        <w:rPr>
          <w:rtl w:val="0"/>
        </w:rPr>
      </w:r>
    </w:p>
    <w:p w:rsidR="00000000" w:rsidDel="00000000" w:rsidP="00000000" w:rsidRDefault="00000000" w:rsidRPr="00000000" w14:paraId="00000022">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3">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4">
      <w:pPr>
        <w:numPr>
          <w:ilvl w:val="0"/>
          <w:numId w:val="5"/>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Nedílnou součástí Rozhodnutí je příloha Závazné parametry řešení projektu, která je Schváleným návrhem projektu ve smyslu § 9 odst. 2 ZPVV., Závazné parametry řešení projektu obsahují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jejíž součástí je tabulka uznaných nákladů projektu. </w:t>
      </w:r>
      <w:r w:rsidDel="00000000" w:rsidR="00000000" w:rsidRPr="00000000">
        <w:rPr>
          <w:rtl w:val="0"/>
        </w:rPr>
      </w:r>
    </w:p>
    <w:p w:rsidR="00000000" w:rsidDel="00000000" w:rsidP="00000000" w:rsidRDefault="00000000" w:rsidRPr="00000000" w14:paraId="00000025">
      <w:pPr>
        <w:numPr>
          <w:ilvl w:val="0"/>
          <w:numId w:val="5"/>
        </w:numPr>
        <w:tabs>
          <w:tab w:val="left" w:leader="none" w:pos="567"/>
          <w:tab w:val="left" w:leader="none" w:pos="709"/>
        </w:tabs>
        <w:ind w:left="357" w:hanging="357"/>
        <w:rPr/>
      </w:pPr>
      <w:r w:rsidDel="00000000" w:rsidR="00000000" w:rsidRPr="00000000">
        <w:rPr>
          <w:rFonts w:ascii="Calibri" w:cs="Calibri" w:eastAsia="Calibri" w:hAnsi="Calibri"/>
          <w:rtl w:val="0"/>
        </w:rPr>
        <w:t xml:space="preserve">Další podmínky poskytnutí podpory a řešení projektu uvádíme ve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w:t>
      </w:r>
      <w:r w:rsidDel="00000000" w:rsidR="00000000" w:rsidRPr="00000000">
        <w:rPr>
          <w:rFonts w:ascii="Calibri" w:cs="Calibri" w:eastAsia="Calibri" w:hAnsi="Calibri"/>
          <w:rtl w:val="0"/>
        </w:rPr>
        <w:t xml:space="preserve">na našich webových stránkách</w:t>
      </w:r>
      <w:r w:rsidDel="00000000" w:rsidR="00000000" w:rsidRPr="00000000">
        <w:rPr>
          <w:rFonts w:ascii="Calibri" w:cs="Calibri" w:eastAsia="Calibri" w:hAnsi="Calibri"/>
          <w:color w:val="222222"/>
          <w:rtl w:val="0"/>
        </w:rPr>
        <w:t xml:space="preserve">.</w:t>
      </w:r>
      <w:r w:rsidDel="00000000" w:rsidR="00000000" w:rsidRPr="00000000">
        <w:rPr>
          <w:rtl w:val="0"/>
        </w:rPr>
      </w:r>
    </w:p>
    <w:p w:rsidR="00000000" w:rsidDel="00000000" w:rsidP="00000000" w:rsidRDefault="00000000" w:rsidRPr="00000000" w14:paraId="00000026">
      <w:pPr>
        <w:numPr>
          <w:ilvl w:val="0"/>
          <w:numId w:val="5"/>
        </w:numPr>
        <w:tabs>
          <w:tab w:val="left" w:leader="none" w:pos="567"/>
          <w:tab w:val="left" w:leader="none" w:pos="709"/>
        </w:tabs>
        <w:ind w:left="357" w:hanging="357"/>
        <w:rPr/>
      </w:pPr>
      <w:r w:rsidDel="00000000" w:rsidR="00000000" w:rsidRPr="00000000">
        <w:rPr>
          <w:rFonts w:ascii="Calibri" w:cs="Calibri" w:eastAsia="Calibri" w:hAnsi="Calibri"/>
          <w:rtl w:val="0"/>
        </w:rPr>
        <w:t xml:space="preserve">Obsahuje-li Rozhodnutí úpravu odlišnou od Všeobecných podmínek či Závazných parametrů řešení projektu, použijeme přednostně ustanovení Rozhodnutí, dále ustanovení Všeobecných podmínek a dále Závazných parametrů řešení projektu.</w:t>
      </w:r>
      <w:r w:rsidDel="00000000" w:rsidR="00000000" w:rsidRPr="00000000">
        <w:rPr>
          <w:rtl w:val="0"/>
        </w:rPr>
      </w:r>
    </w:p>
    <w:p w:rsidR="00000000" w:rsidDel="00000000" w:rsidP="00000000" w:rsidRDefault="00000000" w:rsidRPr="00000000" w14:paraId="00000027">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gjdgxs" w:id="0"/>
    <w:bookmarkEnd w:id="0"/>
    <w:p w:rsidR="00000000" w:rsidDel="00000000" w:rsidP="00000000" w:rsidRDefault="00000000" w:rsidRPr="00000000" w14:paraId="0000002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29">
      <w:pPr>
        <w:numPr>
          <w:ilvl w:val="0"/>
          <w:numId w:val="1"/>
        </w:numPr>
        <w:spacing w:before="24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pro výše uvedenou mezinárodní výzvu, a to nad rámec Všeobecných podmínek.</w:t>
      </w:r>
    </w:p>
    <w:p w:rsidR="00000000" w:rsidDel="00000000" w:rsidP="00000000" w:rsidRDefault="00000000" w:rsidRPr="00000000" w14:paraId="0000002A">
      <w:pPr>
        <w:numPr>
          <w:ilvl w:val="0"/>
          <w:numId w:val="1"/>
        </w:numPr>
        <w:ind w:left="425" w:hanging="425"/>
        <w:rPr/>
      </w:pPr>
      <w:r w:rsidDel="00000000" w:rsidR="00000000" w:rsidRPr="00000000">
        <w:rPr>
          <w:rFonts w:ascii="Calibri" w:cs="Calibri" w:eastAsia="Calibri" w:hAnsi="Calibri"/>
          <w:rtl w:val="0"/>
        </w:rPr>
        <w:t xml:space="preserve">Uvádí-li Všeobecné podmínky či související dokumenty pojem “veřejná soutěž”, pro potřeby projektu financovaného prostřednictvím mezinárodních výzev se jedná o mezinárodní výzvu definovanou v čl. 4 odst. 4 Smlouvy.</w:t>
      </w:r>
      <w:r w:rsidDel="00000000" w:rsidR="00000000" w:rsidRPr="00000000">
        <w:rPr>
          <w:rtl w:val="0"/>
        </w:rPr>
      </w:r>
    </w:p>
    <w:p w:rsidR="00000000" w:rsidDel="00000000" w:rsidP="00000000" w:rsidRDefault="00000000" w:rsidRPr="00000000" w14:paraId="0000002B">
      <w:pPr>
        <w:numPr>
          <w:ilvl w:val="0"/>
          <w:numId w:val="1"/>
        </w:numPr>
        <w:ind w:left="425" w:hanging="425"/>
        <w:rPr/>
      </w:pPr>
      <w:r w:rsidDel="00000000" w:rsidR="00000000" w:rsidRPr="00000000">
        <w:rPr>
          <w:rFonts w:ascii="Calibri" w:cs="Calibri" w:eastAsia="Calibri" w:hAnsi="Calibri"/>
          <w:rtl w:val="0"/>
        </w:rPr>
        <w:t xml:space="preserve">Nad rámec Všeobecných podmínek má Hlavní příjemce povinnost dle zákona č. 563/1991 Sb., o účetnictví zveřejňovat účetní závěrku v příslušném rejstříku ve smyslu zákona č. 304/2013 Sb., o veřejných rejstřících právnických a fyzických osob, a to po celou dobu řešení projektu.</w:t>
      </w:r>
      <w:r w:rsidDel="00000000" w:rsidR="00000000" w:rsidRPr="00000000">
        <w:rPr>
          <w:rtl w:val="0"/>
        </w:rPr>
      </w:r>
    </w:p>
    <w:p w:rsidR="00000000" w:rsidDel="00000000" w:rsidP="00000000" w:rsidRDefault="00000000" w:rsidRPr="00000000" w14:paraId="0000002C">
      <w:pPr>
        <w:numPr>
          <w:ilvl w:val="0"/>
          <w:numId w:val="1"/>
        </w:numPr>
        <w:spacing w:after="120" w:lineRule="auto"/>
        <w:ind w:left="425" w:hanging="425"/>
        <w:rPr/>
      </w:pPr>
      <w:r w:rsidDel="00000000" w:rsidR="00000000" w:rsidRPr="00000000">
        <w:rPr>
          <w:rFonts w:ascii="Calibri" w:cs="Calibri" w:eastAsia="Calibri" w:hAnsi="Calibri"/>
          <w:rtl w:val="0"/>
        </w:rPr>
        <w:t xml:space="preserve">Článek 2 Všeobecných podmínek „Vymezení pojmů” se doplňuje o tyto pojmy: </w:t>
      </w:r>
      <w:r w:rsidDel="00000000" w:rsidR="00000000" w:rsidRPr="00000000">
        <w:rPr>
          <w:rtl w:val="0"/>
        </w:rPr>
      </w:r>
    </w:p>
    <w:p w:rsidR="00000000" w:rsidDel="00000000" w:rsidP="00000000" w:rsidRDefault="00000000" w:rsidRPr="00000000" w14:paraId="0000002D">
      <w:pPr>
        <w:spacing w:after="120" w:before="0" w:lineRule="auto"/>
        <w:ind w:left="850"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2E">
      <w:pPr>
        <w:ind w:left="850" w:firstLine="0"/>
        <w:rPr>
          <w:rFonts w:ascii="Calibri" w:cs="Calibri" w:eastAsia="Calibri" w:hAnsi="Calibri"/>
        </w:rPr>
      </w:pPr>
      <w:r w:rsidDel="00000000" w:rsidR="00000000" w:rsidRPr="00000000">
        <w:rPr>
          <w:rFonts w:ascii="Calibri" w:cs="Calibri" w:eastAsia="Calibri" w:hAnsi="Calibri"/>
          <w:rtl w:val="0"/>
        </w:rPr>
        <w:t xml:space="preserve">„Mezinárodní výzvou” se rozumí výzva, kterou společně vyhlašuje konsorcium poskytovatelů daného ERA-NET Cofundu/Evropského partnerství. Do výzvy předkládají projekty konsorcia mezinárodních partnerů, přičemž každý poskytovatel financuje své národní úspěšné uchazeče ve výzvě.</w:t>
      </w:r>
    </w:p>
    <w:p w:rsidR="00000000" w:rsidDel="00000000" w:rsidP="00000000" w:rsidRDefault="00000000" w:rsidRPr="00000000" w14:paraId="0000002F">
      <w:pPr>
        <w:numPr>
          <w:ilvl w:val="0"/>
          <w:numId w:val="1"/>
        </w:numPr>
        <w:ind w:left="425"/>
      </w:pPr>
      <w:r w:rsidDel="00000000" w:rsidR="00000000" w:rsidRPr="00000000">
        <w:rPr>
          <w:rFonts w:ascii="Calibri" w:cs="Calibri" w:eastAsia="Calibri" w:hAnsi="Calibri"/>
          <w:rtl w:val="0"/>
        </w:rPr>
        <w:t xml:space="preserve">Nad rámec Všeobecných podmínek má Hlavní příjemce povinnost mít před podpisem Smlouvy uzavřenou příslušnou konsorciální smlouvu (Consortium Agreement)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uchazeč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w:t>
      </w:r>
      <w:r w:rsidDel="00000000" w:rsidR="00000000" w:rsidRPr="00000000">
        <w:rPr>
          <w:rFonts w:ascii="Arial" w:cs="Arial" w:eastAsia="Arial" w:hAnsi="Arial"/>
          <w:color w:val="222222"/>
          <w:highlight w:val="white"/>
          <w:rtl w:val="0"/>
        </w:rPr>
        <w:t xml:space="preserve">a související ustanovení se použijí i pro konsorciální smlouvu se zahraničním partnerem, kdy se ve vztahu k zahraničnímu partnerovi neuplatní povinnosti dle čl. 6 odst. 2 písm. c) a d)</w:t>
      </w:r>
      <w:r w:rsidDel="00000000" w:rsidR="00000000" w:rsidRPr="00000000">
        <w:rPr>
          <w:rFonts w:ascii="Calibri" w:cs="Calibri" w:eastAsia="Calibri" w:hAnsi="Calibri"/>
          <w:rtl w:val="0"/>
        </w:rPr>
        <w:t xml:space="preserve">. Konsorciální smlouva musí být v anglickém jazyce. Nesplnění této povinnosti má za následek vznik povinnosti uhradit smluvní pokutu ve výši 1 000 Kč za každý započatý měsíc, kdy není povinnost splněna, maximálně však 30 000 Kč. </w:t>
      </w:r>
    </w:p>
    <w:p w:rsidR="00000000" w:rsidDel="00000000" w:rsidP="00000000" w:rsidRDefault="00000000" w:rsidRPr="00000000" w14:paraId="00000030">
      <w:pPr>
        <w:numPr>
          <w:ilvl w:val="0"/>
          <w:numId w:val="1"/>
        </w:numPr>
        <w:spacing w:after="120" w:lineRule="auto"/>
        <w:ind w:left="425" w:right="-182" w:hanging="425"/>
        <w:rPr/>
      </w:pPr>
      <w:bookmarkStart w:colFirst="0" w:colLast="0" w:name="_30j0zll" w:id="1"/>
      <w:bookmarkEnd w:id="1"/>
      <w:r w:rsidDel="00000000" w:rsidR="00000000" w:rsidRPr="00000000">
        <w:rPr>
          <w:rFonts w:ascii="Calibri" w:cs="Calibri" w:eastAsia="Calibri" w:hAnsi="Calibri"/>
          <w:rtl w:val="0"/>
        </w:rPr>
        <w:t xml:space="preserve"> Čl. 11 Všeobecných podmínek se doplňuje o nový odst. 5, který zní:</w:t>
      </w:r>
      <w:r w:rsidDel="00000000" w:rsidR="00000000" w:rsidRPr="00000000">
        <w:rPr>
          <w:rtl w:val="0"/>
        </w:rPr>
      </w:r>
    </w:p>
    <w:p w:rsidR="00000000" w:rsidDel="00000000" w:rsidP="00000000" w:rsidRDefault="00000000" w:rsidRPr="00000000" w14:paraId="00000031">
      <w:pPr>
        <w:spacing w:after="120" w:lineRule="auto"/>
        <w:ind w:left="850" w:right="-182" w:firstLine="0"/>
        <w:rPr>
          <w:rFonts w:ascii="Calibri" w:cs="Calibri" w:eastAsia="Calibri" w:hAnsi="Calibri"/>
        </w:rPr>
      </w:pPr>
      <w:r w:rsidDel="00000000" w:rsidR="00000000" w:rsidRPr="00000000">
        <w:rPr>
          <w:rtl w:val="0"/>
        </w:rPr>
        <w:t xml:space="preserve">„</w:t>
      </w:r>
      <w:r w:rsidDel="00000000" w:rsidR="00000000" w:rsidRPr="00000000">
        <w:rPr>
          <w:rFonts w:ascii="Calibri" w:cs="Calibri" w:eastAsia="Calibri" w:hAnsi="Calibri"/>
          <w:rtl w:val="0"/>
        </w:rPr>
        <w:t xml:space="preserve">Příjemce je povinen přispívat k průběžným mezinárodním zprávám o pokroku projektu a závěrečné zprávě podle požadavků koordinátora konsorcia projektu (dále jako „koordinátor”), přičemž koordinátorem může být i příjemce. Koordinátor je odpovědný za předkládání těchto zpráv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v četnosti stanovené v oficiálních dokumentech výzvy, přičemž koordinátor obdrží včas požadované šablony zpráv od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které poskytne příjemci k vyplnění.”</w:t>
      </w:r>
    </w:p>
    <w:p w:rsidR="00000000" w:rsidDel="00000000" w:rsidP="00000000" w:rsidRDefault="00000000" w:rsidRPr="00000000" w14:paraId="00000032">
      <w:pPr>
        <w:keepNext w:val="1"/>
        <w:keepLines w:val="1"/>
        <w:numPr>
          <w:ilvl w:val="0"/>
          <w:numId w:val="1"/>
        </w:numPr>
        <w:ind w:left="425" w:hanging="425"/>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r w:rsidDel="00000000" w:rsidR="00000000" w:rsidRPr="00000000">
        <w:rPr>
          <w:rtl w:val="0"/>
        </w:rPr>
      </w:r>
    </w:p>
    <w:p w:rsidR="00000000" w:rsidDel="00000000" w:rsidP="00000000" w:rsidRDefault="00000000" w:rsidRPr="00000000" w14:paraId="00000033">
      <w:pPr>
        <w:numPr>
          <w:ilvl w:val="0"/>
          <w:numId w:val="1"/>
        </w:numPr>
        <w:spacing w:line="240" w:lineRule="auto"/>
        <w:ind w:left="425" w:hanging="425"/>
        <w:rPr/>
      </w:pPr>
      <w:r w:rsidDel="00000000" w:rsidR="00000000" w:rsidRPr="00000000">
        <w:rPr>
          <w:rFonts w:ascii="Calibri" w:cs="Calibri" w:eastAsia="Calibri" w:hAnsi="Calibri"/>
          <w:rtl w:val="0"/>
        </w:rPr>
        <w:t xml:space="preserve">  Čl. 14 Všeobecných podmínek se doplňuje o nový odst. 5, který zní:</w:t>
      </w:r>
      <w:r w:rsidDel="00000000" w:rsidR="00000000" w:rsidRPr="00000000">
        <w:rPr>
          <w:rtl w:val="0"/>
        </w:rPr>
      </w:r>
    </w:p>
    <w:p w:rsidR="00000000" w:rsidDel="00000000" w:rsidP="00000000" w:rsidRDefault="00000000" w:rsidRPr="00000000" w14:paraId="00000034">
      <w:pPr>
        <w:spacing w:line="240" w:lineRule="auto"/>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v anglickém jazyce.“</w:t>
      </w:r>
    </w:p>
    <w:p w:rsidR="00000000" w:rsidDel="00000000" w:rsidP="00000000" w:rsidRDefault="00000000" w:rsidRPr="00000000" w14:paraId="00000035">
      <w:pPr>
        <w:numPr>
          <w:ilvl w:val="0"/>
          <w:numId w:val="1"/>
        </w:numPr>
        <w:ind w:left="425" w:hanging="425"/>
        <w:rPr/>
      </w:pPr>
      <w:r w:rsidDel="00000000" w:rsidR="00000000" w:rsidRPr="00000000">
        <w:rPr>
          <w:rFonts w:ascii="Calibri" w:cs="Calibri" w:eastAsia="Calibri" w:hAnsi="Calibri"/>
          <w:rtl w:val="0"/>
        </w:rPr>
        <w:t xml:space="preserve"> Čl. 17 Všeobecných podmínek se doplňuje o nový odst. 11, který zní:</w:t>
      </w:r>
      <w:r w:rsidDel="00000000" w:rsidR="00000000" w:rsidRPr="00000000">
        <w:rPr>
          <w:rtl w:val="0"/>
        </w:rPr>
      </w:r>
    </w:p>
    <w:p w:rsidR="00000000" w:rsidDel="00000000" w:rsidP="00000000" w:rsidRDefault="00000000" w:rsidRPr="00000000" w14:paraId="00000036">
      <w:pPr>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w:t>
      </w:r>
    </w:p>
    <w:p w:rsidR="00000000" w:rsidDel="00000000" w:rsidP="00000000" w:rsidRDefault="00000000" w:rsidRPr="00000000" w14:paraId="00000037">
      <w:pPr>
        <w:numPr>
          <w:ilvl w:val="0"/>
          <w:numId w:val="1"/>
        </w:numPr>
        <w:ind w:left="425"/>
      </w:pPr>
      <w:r w:rsidDel="00000000" w:rsidR="00000000" w:rsidRPr="00000000">
        <w:rPr>
          <w:rFonts w:ascii="Calibri" w:cs="Calibri" w:eastAsia="Calibri" w:hAnsi="Calibri"/>
          <w:rtl w:val="0"/>
        </w:rPr>
        <w:t xml:space="preserve">Čl. 17 Všeobecných podmínek se doplňuje o nový odst. 12, který zní:</w:t>
      </w:r>
    </w:p>
    <w:p w:rsidR="00000000" w:rsidDel="00000000" w:rsidP="00000000" w:rsidRDefault="00000000" w:rsidRPr="00000000" w14:paraId="00000038">
      <w:pPr>
        <w:ind w:left="425" w:firstLine="425.39370078740177"/>
        <w:rPr>
          <w:rFonts w:ascii="Calibri" w:cs="Calibri" w:eastAsia="Calibri" w:hAnsi="Calibri"/>
        </w:rPr>
      </w:pPr>
      <w:r w:rsidDel="00000000" w:rsidR="00000000" w:rsidRPr="00000000">
        <w:rPr>
          <w:rFonts w:ascii="Calibri" w:cs="Calibri" w:eastAsia="Calibri" w:hAnsi="Calibri"/>
          <w:rtl w:val="0"/>
        </w:rPr>
        <w:t xml:space="preserve">„Náklady se zdanitelným plněním po 30. 6. 2026 nebudou považovány za uznané.“ </w:t>
      </w:r>
    </w:p>
    <w:p w:rsidR="00000000" w:rsidDel="00000000" w:rsidP="00000000" w:rsidRDefault="00000000" w:rsidRPr="00000000" w14:paraId="00000039">
      <w:pPr>
        <w:numPr>
          <w:ilvl w:val="0"/>
          <w:numId w:val="1"/>
        </w:numPr>
        <w:ind w:left="425" w:hanging="425"/>
        <w:rPr/>
      </w:pPr>
      <w:r w:rsidDel="00000000" w:rsidR="00000000" w:rsidRPr="00000000">
        <w:rPr>
          <w:rFonts w:ascii="Calibri" w:cs="Calibri" w:eastAsia="Calibri" w:hAnsi="Calibri"/>
          <w:rtl w:val="0"/>
        </w:rPr>
        <w:t xml:space="preserve">Poskytovatel se zavazuje poskytnout podporu v každém roce řešení ve výši uvedené v Závazných  parametrech řešení projektu</w:t>
      </w:r>
      <w:r w:rsidDel="00000000" w:rsidR="00000000" w:rsidRPr="00000000">
        <w:rPr>
          <w:rtl w:val="0"/>
        </w:rPr>
      </w:r>
    </w:p>
    <w:p w:rsidR="00000000" w:rsidDel="00000000" w:rsidP="00000000" w:rsidRDefault="00000000" w:rsidRPr="00000000" w14:paraId="0000003A">
      <w:pPr>
        <w:numPr>
          <w:ilvl w:val="1"/>
          <w:numId w:val="1"/>
        </w:numPr>
        <w:ind w:left="1440" w:right="566" w:hanging="360"/>
        <w:rPr>
          <w:rFonts w:ascii="Calibri" w:cs="Calibri" w:eastAsia="Calibri" w:hAnsi="Calibri"/>
        </w:rPr>
      </w:pPr>
      <w:r w:rsidDel="00000000" w:rsidR="00000000" w:rsidRPr="00000000">
        <w:rPr>
          <w:rFonts w:ascii="Calibri" w:cs="Calibri" w:eastAsia="Calibri" w:hAnsi="Calibri"/>
          <w:rtl w:val="0"/>
        </w:rPr>
        <w:t xml:space="preserve">do 60 kalendářních dnů ode dne nabytí účinnosti Smlouvy a</w:t>
      </w:r>
    </w:p>
    <w:p w:rsidR="00000000" w:rsidDel="00000000" w:rsidP="00000000" w:rsidRDefault="00000000" w:rsidRPr="00000000" w14:paraId="0000003B">
      <w:pPr>
        <w:numPr>
          <w:ilvl w:val="1"/>
          <w:numId w:val="1"/>
        </w:numPr>
        <w:ind w:left="1440" w:right="566" w:hanging="360"/>
        <w:rPr>
          <w:rFonts w:ascii="Calibri" w:cs="Calibri" w:eastAsia="Calibri" w:hAnsi="Calibri"/>
        </w:rPr>
      </w:pPr>
      <w:r w:rsidDel="00000000" w:rsidR="00000000" w:rsidRPr="00000000">
        <w:rPr>
          <w:rFonts w:ascii="Calibri" w:cs="Calibri" w:eastAsia="Calibri" w:hAnsi="Calibri"/>
          <w:rtl w:val="0"/>
        </w:rPr>
        <w:t xml:space="preserve">u víceletých projektů pro druhý a každý následující rok řešení do 60 kalendářních dnů od začátku příslušného kalendářního roku.</w:t>
      </w:r>
    </w:p>
    <w:p w:rsidR="00000000" w:rsidDel="00000000" w:rsidP="00000000" w:rsidRDefault="00000000" w:rsidRPr="00000000" w14:paraId="0000003C">
      <w:pPr>
        <w:numPr>
          <w:ilvl w:val="0"/>
          <w:numId w:val="1"/>
        </w:numPr>
        <w:ind w:left="425" w:right="566"/>
        <w:rPr/>
      </w:pPr>
      <w:r w:rsidDel="00000000" w:rsidR="00000000" w:rsidRPr="00000000">
        <w:rPr>
          <w:rFonts w:ascii="Calibri" w:cs="Calibri" w:eastAsia="Calibri" w:hAnsi="Calibri"/>
          <w:rtl w:val="0"/>
        </w:rPr>
        <w:t xml:space="preserve">Nad rámec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p>
    <w:p w:rsidR="00000000" w:rsidDel="00000000" w:rsidP="00000000" w:rsidRDefault="00000000" w:rsidRPr="00000000" w14:paraId="0000003D">
      <w:pPr>
        <w:numPr>
          <w:ilvl w:val="0"/>
          <w:numId w:val="1"/>
        </w:numPr>
        <w:ind w:left="425" w:right="566"/>
        <w:rPr/>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w:t>
      </w:r>
      <w:r w:rsidDel="00000000" w:rsidR="00000000" w:rsidRPr="00000000">
        <w:rPr>
          <w:rFonts w:ascii="Roboto" w:cs="Roboto" w:eastAsia="Roboto" w:hAnsi="Roboto"/>
          <w:sz w:val="20"/>
          <w:szCs w:val="20"/>
          <w:rtl w:val="0"/>
        </w:rPr>
        <w:t xml:space="preserve">o dostupnosti a způsobu šíření výsledků výzkumu a výzkumných dat, pokud byly vytvořeny za podpory z veřejných prostředků podle tohoto zákona, v souladu se zásadou, že výsledky výzkumu a výzkumná data nejsou zveřejňovány pouze v odůvodněných případech.</w:t>
      </w:r>
      <w:r w:rsidDel="00000000" w:rsidR="00000000" w:rsidRPr="00000000">
        <w:rPr>
          <w:rtl w:val="0"/>
        </w:rPr>
      </w:r>
    </w:p>
    <w:p w:rsidR="00000000" w:rsidDel="00000000" w:rsidP="00000000" w:rsidRDefault="00000000" w:rsidRPr="00000000" w14:paraId="0000003E">
      <w:pPr>
        <w:numPr>
          <w:ilvl w:val="0"/>
          <w:numId w:val="1"/>
        </w:numPr>
        <w:ind w:left="425" w:right="566"/>
      </w:pPr>
      <w:r w:rsidDel="00000000" w:rsidR="00000000" w:rsidRPr="00000000">
        <w:rPr>
          <w:rFonts w:ascii="Calibri" w:cs="Calibri" w:eastAsia="Calibri" w:hAnsi="Calibri"/>
          <w:rtl w:val="0"/>
        </w:rPr>
        <w:t xml:space="preserve">Nad rámec Všeobecných podmínek je příjemce povinen dodržovat během realizace projektu zásadu "významně nepoškozovat" ve smyslu článku 17 Nařízení Evropského parlamentu a Rady (EU) 2020/852 ze dne 18. června 2020 o zřízení rámce pro usnadnění udržitelných investic a o změně nařízení (EU) 2019/2088, tzn. nesmí dojít k porušení ani jednoho z šesti environmentálních cílů a výsledky projektu budou na úrovni uplatňování technologicky neutrální.</w:t>
      </w:r>
    </w:p>
    <w:p w:rsidR="00000000" w:rsidDel="00000000" w:rsidP="00000000" w:rsidRDefault="00000000" w:rsidRPr="00000000" w14:paraId="0000003F">
      <w:pPr>
        <w:numPr>
          <w:ilvl w:val="0"/>
          <w:numId w:val="1"/>
        </w:numPr>
        <w:ind w:left="425" w:right="-182"/>
      </w:pPr>
      <w:r w:rsidDel="00000000" w:rsidR="00000000" w:rsidRPr="00000000">
        <w:rPr>
          <w:rFonts w:ascii="Calibri" w:cs="Calibri" w:eastAsia="Calibri" w:hAnsi="Calibri"/>
          <w:rtl w:val="0"/>
        </w:rPr>
        <w:t xml:space="preserve">Čl. 4 odst. 2 písm. c) Všeobecných podmínek se mění takto:</w:t>
      </w:r>
      <w:r w:rsidDel="00000000" w:rsidR="00000000" w:rsidRPr="00000000">
        <w:rPr>
          <w:rtl w:val="0"/>
        </w:rPr>
      </w:r>
    </w:p>
    <w:p w:rsidR="00000000" w:rsidDel="00000000" w:rsidP="00000000" w:rsidRDefault="00000000" w:rsidRPr="00000000" w14:paraId="00000040">
      <w:pPr>
        <w:spacing w:after="240" w:before="240" w:lineRule="auto"/>
        <w:ind w:left="850" w:right="-182" w:firstLine="0"/>
        <w:rPr>
          <w:rFonts w:ascii="Calibri" w:cs="Calibri" w:eastAsia="Calibri" w:hAnsi="Calibri"/>
        </w:rPr>
      </w:pPr>
      <w:r w:rsidDel="00000000" w:rsidR="00000000" w:rsidRPr="00000000">
        <w:rPr>
          <w:rFonts w:ascii="Calibri" w:cs="Calibri" w:eastAsia="Calibri" w:hAnsi="Calibri"/>
          <w:rtl w:val="0"/>
        </w:rPr>
        <w:t xml:space="preserve">“při prezentaci informací o řešeném projektu s podporou TA ČR či o jeho výsledcích v hromadných sdělovacích prostředcích či jiným způsobem, informovat přiměřeným způsobem o tom, že projekt byl realizován za finanční podpory TA ČR, a to na všech propagačních materiálech i ve všech typech médií, které se k projektu či jeho výsledkům a výstupům vztahují, a to v souladu s podmínkami vizuální identity uveřejněnými na webových stránkách poskytovatele, a též v souladu s podmínkami vizuální identity stanovenými v Metodickém pokynu pro publicitu a komunikaci pro Národní plán obnovy na období 2021–2026.”</w:t>
      </w:r>
    </w:p>
    <w:p w:rsidR="00000000" w:rsidDel="00000000" w:rsidP="00000000" w:rsidRDefault="00000000" w:rsidRPr="00000000" w14:paraId="00000041">
      <w:pPr>
        <w:numPr>
          <w:ilvl w:val="0"/>
          <w:numId w:val="1"/>
        </w:numPr>
        <w:ind w:left="425" w:right="-182"/>
      </w:pPr>
      <w:r w:rsidDel="00000000" w:rsidR="00000000" w:rsidRPr="00000000">
        <w:rPr>
          <w:rFonts w:ascii="Calibri" w:cs="Calibri" w:eastAsia="Calibri" w:hAnsi="Calibri"/>
          <w:rtl w:val="0"/>
        </w:rPr>
        <w:t xml:space="preserve">Nad rámec Všeobecných podmínek je příjemce povinen učinit veškerá opatření, aby nevznikl střet zájmů ve smyslu článku 61 Nařízení Evropského parlamentu a Rady (EU) 2018/1046 ze dne 18. července 2018, a pokud taková situace nastane, je povinen tuto skutečnost neprodleně oznámit poskytovateli.</w:t>
      </w:r>
      <w:r w:rsidDel="00000000" w:rsidR="00000000" w:rsidRPr="00000000">
        <w:rPr>
          <w:rtl w:val="0"/>
        </w:rPr>
      </w:r>
    </w:p>
    <w:p w:rsidR="00000000" w:rsidDel="00000000" w:rsidP="00000000" w:rsidRDefault="00000000" w:rsidRPr="00000000" w14:paraId="00000042">
      <w:pPr>
        <w:numPr>
          <w:ilvl w:val="0"/>
          <w:numId w:val="1"/>
        </w:numPr>
        <w:ind w:left="425" w:right="-182"/>
      </w:pPr>
      <w:r w:rsidDel="00000000" w:rsidR="00000000" w:rsidRPr="00000000">
        <w:rPr>
          <w:rFonts w:ascii="Calibri" w:cs="Calibri" w:eastAsia="Calibri" w:hAnsi="Calibri"/>
          <w:rtl w:val="0"/>
        </w:rPr>
        <w:t xml:space="preserve">Čl. 17 odst. 8 Všeobecných podmínek se nahrazuje tímto:</w:t>
      </w:r>
      <w:r w:rsidDel="00000000" w:rsidR="00000000" w:rsidRPr="00000000">
        <w:rPr>
          <w:rtl w:val="0"/>
        </w:rPr>
      </w:r>
    </w:p>
    <w:p w:rsidR="00000000" w:rsidDel="00000000" w:rsidP="00000000" w:rsidRDefault="00000000" w:rsidRPr="00000000" w14:paraId="00000043">
      <w:pPr>
        <w:ind w:left="850" w:right="-182" w:firstLine="0"/>
        <w:rPr>
          <w:rFonts w:ascii="Calibri" w:cs="Calibri" w:eastAsia="Calibri" w:hAnsi="Calibri"/>
        </w:rPr>
      </w:pPr>
      <w:r w:rsidDel="00000000" w:rsidR="00000000" w:rsidRPr="00000000">
        <w:rPr>
          <w:rFonts w:ascii="Calibri" w:cs="Calibri" w:eastAsia="Calibri" w:hAnsi="Calibri"/>
          <w:rtl w:val="0"/>
        </w:rPr>
        <w:t xml:space="preserve">“Daň z přidané hodnoty dle zákona č. 235/2004 Sb., o dani z přidané hodnoty není v této veřejné soutěži uznaný náklad, ani pro neplátce DPH.”</w:t>
      </w:r>
    </w:p>
    <w:p w:rsidR="00000000" w:rsidDel="00000000" w:rsidP="00000000" w:rsidRDefault="00000000" w:rsidRPr="00000000" w14:paraId="00000044">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45">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46">
      <w:pPr>
        <w:numPr>
          <w:ilvl w:val="0"/>
          <w:numId w:val="4"/>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Rozhodnutí </w:t>
      </w:r>
      <w:r w:rsidDel="00000000" w:rsidR="00000000" w:rsidRPr="00000000">
        <w:rPr>
          <w:rFonts w:ascii="Calibri" w:cs="Calibri" w:eastAsia="Calibri" w:hAnsi="Calibri"/>
          <w:highlight w:val="yellow"/>
          <w:rtl w:val="0"/>
        </w:rPr>
        <w:t xml:space="preserve">nabývá právní moci a vykonatelnosti dnem</w:t>
      </w:r>
      <w:r w:rsidDel="00000000" w:rsidR="00000000" w:rsidRPr="00000000">
        <w:rPr>
          <w:rFonts w:ascii="Calibri" w:cs="Calibri" w:eastAsia="Calibri" w:hAnsi="Calibri"/>
          <w:rtl w:val="0"/>
        </w:rPr>
        <w:t xml:space="preserve"> jeho doručení </w:t>
      </w:r>
      <w:r w:rsidDel="00000000" w:rsidR="00000000" w:rsidRPr="00000000">
        <w:rPr>
          <w:rFonts w:ascii="Calibri" w:cs="Calibri" w:eastAsia="Calibri" w:hAnsi="Calibri"/>
          <w:rtl w:val="0"/>
        </w:rPr>
        <w:t xml:space="preserve">Příjemci.</w:t>
      </w:r>
      <w:r w:rsidDel="00000000" w:rsidR="00000000" w:rsidRPr="00000000">
        <w:rPr>
          <w:rtl w:val="0"/>
        </w:rPr>
      </w:r>
    </w:p>
    <w:p w:rsidR="00000000" w:rsidDel="00000000" w:rsidP="00000000" w:rsidRDefault="00000000" w:rsidRPr="00000000" w14:paraId="00000047">
      <w:pPr>
        <w:numPr>
          <w:ilvl w:val="0"/>
          <w:numId w:val="4"/>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Rozhodnutí vydáváme na dobu určitou, a to do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6"/>
          <w:numId w:val="6"/>
        </w:numPr>
        <w:spacing w:before="0" w:line="240" w:lineRule="auto"/>
        <w:ind w:left="5040" w:firstLine="14760"/>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tbl>
      <w:tblPr>
        <w:tblStyle w:val="Table1"/>
        <w:tblW w:w="9639.0" w:type="dxa"/>
        <w:jc w:val="left"/>
        <w:tblInd w:w="-1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4B">
            <w:pPr>
              <w:spacing w:after="40" w:before="40" w:lineRule="auto"/>
              <w:rPr>
                <w:rFonts w:ascii="Calibri" w:cs="Calibri" w:eastAsia="Calibri" w:hAnsi="Calibri"/>
                <w:highlight w:val="yellow"/>
              </w:rPr>
            </w:pPr>
            <w:r w:rsidDel="00000000" w:rsidR="00000000" w:rsidRPr="00000000">
              <w:rPr>
                <w:rFonts w:ascii="Calibri" w:cs="Calibri" w:eastAsia="Calibri" w:hAnsi="Calibri"/>
                <w:rtl w:val="0"/>
              </w:rPr>
              <w:t xml:space="preserve">V Praze dne </w:t>
            </w:r>
            <w:r w:rsidDel="00000000" w:rsidR="00000000" w:rsidRPr="00000000">
              <w:rPr>
                <w:rFonts w:ascii="Calibri" w:cs="Calibri" w:eastAsia="Calibri" w:hAnsi="Calibri"/>
                <w:highlight w:val="yellow"/>
                <w:rtl w:val="0"/>
              </w:rPr>
              <w:t xml:space="preserve">DD. MM. RRRR</w:t>
            </w:r>
          </w:p>
        </w:tc>
        <w:tc>
          <w:tcPr>
            <w:tcBorders>
              <w:bottom w:color="000000" w:space="0" w:sz="4" w:val="single"/>
            </w:tcBorders>
          </w:tcPr>
          <w:p w:rsidR="00000000" w:rsidDel="00000000" w:rsidP="00000000" w:rsidRDefault="00000000" w:rsidRPr="00000000" w14:paraId="0000004C">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D">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4E">
            <w:pPr>
              <w:spacing w:after="40" w:before="40" w:lineRule="auto"/>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předseda/předsedkyně TA ČR</w:t>
            </w:r>
          </w:p>
        </w:tc>
      </w:tr>
    </w:tbl>
    <w:bookmarkStart w:colFirst="0" w:colLast="0" w:name="1fob9te" w:id="2"/>
    <w:bookmarkEnd w:id="2"/>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rFonts w:ascii="Calibri" w:cs="Calibri" w:eastAsia="Calibri" w:hAnsi="Calibri"/>
        <w:sz w:val="16"/>
        <w:szCs w:val="16"/>
      </w:rPr>
    </w:pPr>
    <w:bookmarkStart w:colFirst="0" w:colLast="0" w:name="_3znysh7" w:id="3"/>
    <w:bookmarkEnd w:id="3"/>
    <w:r w:rsidDel="00000000" w:rsidR="00000000" w:rsidRPr="00000000">
      <w:rPr>
        <w:rFonts w:ascii="Calibri" w:cs="Calibri" w:eastAsia="Calibri" w:hAnsi="Calibri"/>
        <w:sz w:val="16"/>
        <w:szCs w:val="16"/>
        <w:rtl w:val="0"/>
      </w:rPr>
      <w:t xml:space="preserve">F-353, verze 4</w:t>
      <w:tab/>
      <w:t xml:space="preserve">Strana</w:t>
    </w:r>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b w:val="1"/>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sz w:val="16"/>
        <w:szCs w:val="16"/>
        <w:rtl w:val="0"/>
      </w:rPr>
      <w:tab/>
    </w:r>
    <w:r w:rsidDel="00000000" w:rsidR="00000000" w:rsidRPr="00000000">
      <w:rPr>
        <w:rFonts w:ascii="Calibri" w:cs="Calibri" w:eastAsia="Calibri" w:hAnsi="Calibri"/>
        <w:sz w:val="16"/>
        <w:szCs w:val="16"/>
        <w:rtl w:val="0"/>
      </w:rPr>
      <w:t xml:space="preserve">Veřejný</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tabs>
        <w:tab w:val="center" w:leader="none" w:pos="4536"/>
        <w:tab w:val="right" w:leader="none" w:pos="9072"/>
      </w:tabs>
      <w:spacing w:before="1134" w:line="240" w:lineRule="auto"/>
      <w:jc w:val="right"/>
      <w:rPr/>
    </w:pPr>
    <w:r w:rsidDel="00000000" w:rsidR="00000000" w:rsidRPr="00000000">
      <w:rPr>
        <w:b w:val="1"/>
        <w:sz w:val="16"/>
        <w:szCs w:val="16"/>
        <w:rtl w:val="0"/>
      </w:rPr>
      <w:t xml:space="preserve">Rozhodnutí</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1641955</wp:posOffset>
          </wp:positionH>
          <wp:positionV relativeFrom="paragraph">
            <wp:posOffset>190500</wp:posOffset>
          </wp:positionV>
          <wp:extent cx="2476800" cy="738072"/>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76800" cy="73807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-892167</wp:posOffset>
          </wp:positionH>
          <wp:positionV relativeFrom="paragraph">
            <wp:posOffset>-441954</wp:posOffset>
          </wp:positionV>
          <wp:extent cx="1439545" cy="1439545"/>
          <wp:effectExtent b="0" l="0" r="0" t="0"/>
          <wp:wrapNone/>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439545" cy="1439545"/>
                  </a:xfrm>
                  <a:prstGeom prst="rect"/>
                  <a:ln/>
                </pic:spPr>
              </pic:pic>
            </a:graphicData>
          </a:graphic>
        </wp:anchor>
      </w:drawing>
    </w:r>
  </w:p>
  <w:p w:rsidR="00000000" w:rsidDel="00000000" w:rsidP="00000000" w:rsidRDefault="00000000" w:rsidRPr="00000000" w14:paraId="00000053">
    <w:pPr>
      <w:tabs>
        <w:tab w:val="center" w:leader="none" w:pos="4536"/>
        <w:tab w:val="right" w:leader="none" w:pos="9072"/>
      </w:tabs>
      <w:spacing w:before="0" w:line="240" w:lineRule="auto"/>
      <w:jc w:val="right"/>
      <w:rPr>
        <w:b w:val="1"/>
        <w:sz w:val="16"/>
        <w:szCs w:val="16"/>
      </w:rPr>
    </w:pPr>
    <w:r w:rsidDel="00000000" w:rsidR="00000000" w:rsidRPr="00000000">
      <w:rPr>
        <w:b w:val="1"/>
        <w:sz w:val="16"/>
        <w:szCs w:val="16"/>
        <w:rtl w:val="0"/>
      </w:rPr>
      <w:t xml:space="preserve">Číslo rozhodnutí: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p w:rsidR="00000000" w:rsidDel="00000000" w:rsidP="00000000" w:rsidRDefault="00000000" w:rsidRPr="00000000" w14:paraId="00000054">
    <w:pPr>
      <w:tabs>
        <w:tab w:val="center" w:leader="none" w:pos="4536"/>
        <w:tab w:val="right" w:leader="none" w:pos="9072"/>
      </w:tabs>
      <w:spacing w:before="0" w:line="240" w:lineRule="auto"/>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5" w:hanging="425"/>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rFonts w:ascii="Calibri" w:cs="Calibri" w:eastAsia="Calibri" w:hAnsi="Calibri"/>
        <w:b w:val="1"/>
        <w:i w:val="0"/>
        <w:smallCaps w:val="0"/>
        <w:strike w:val="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3">
    <w:lvl w:ilvl="0">
      <w:start w:val="1"/>
      <w:numFmt w:val="decimal"/>
      <w:lvlText w:val="%1."/>
      <w:lvlJc w:val="left"/>
      <w:pPr>
        <w:ind w:left="360" w:hanging="360"/>
      </w:pPr>
      <w:rPr>
        <w:rFonts w:ascii="Calibri" w:cs="Calibri" w:eastAsia="Calibri" w:hAnsi="Calibri"/>
        <w:b w:val="1"/>
        <w:i w:val="0"/>
        <w:smallCaps w:val="0"/>
        <w:strike w:val="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4">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5">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6">
    <w:lvl w:ilvl="0">
      <w:start w:val="1"/>
      <w:numFmt w:val="decimal"/>
      <w:lvlText w:val="%1)"/>
      <w:lvlJc w:val="left"/>
      <w:pPr>
        <w:ind w:left="360" w:firstLine="1080"/>
      </w:pPr>
      <w:rPr>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792" w:firstLine="9072"/>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